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A8" w:rsidRPr="00A21070" w:rsidRDefault="008475A8" w:rsidP="008475A8">
      <w:pPr>
        <w:shd w:val="clear" w:color="auto" w:fill="F5DA46"/>
        <w:spacing w:before="0" w:after="3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r w:rsidRPr="008475A8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Консультация для родителей</w:t>
      </w:r>
      <w:r w:rsidRPr="00A21070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.</w:t>
      </w:r>
      <w:r w:rsidRPr="008475A8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 xml:space="preserve"> </w:t>
      </w:r>
      <w:bookmarkStart w:id="0" w:name="_GoBack"/>
      <w:bookmarkEnd w:id="0"/>
    </w:p>
    <w:p w:rsidR="008475A8" w:rsidRPr="008475A8" w:rsidRDefault="008475A8" w:rsidP="008475A8">
      <w:pPr>
        <w:shd w:val="clear" w:color="auto" w:fill="F5DA46"/>
        <w:spacing w:before="0"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</w:p>
    <w:p w:rsidR="008475A8" w:rsidRPr="008475A8" w:rsidRDefault="008475A8" w:rsidP="008475A8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C00000"/>
          <w:sz w:val="36"/>
          <w:szCs w:val="36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highlight w:val="cyan"/>
          <w:lang w:eastAsia="ru-RU"/>
        </w:rPr>
        <w:t xml:space="preserve">Развивающие игры </w:t>
      </w:r>
      <w:proofErr w:type="spellStart"/>
      <w:r w:rsidRPr="008475A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highlight w:val="cyan"/>
          <w:lang w:eastAsia="ru-RU"/>
        </w:rPr>
        <w:t>Воскобовича</w:t>
      </w:r>
      <w:proofErr w:type="spellEnd"/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особенная, самобытная, творческая и очень добрая технология. В её основу заложены три основных принципы – интерес, познание, творчество. Это не просто игры – это сказки, интриги, приключения, забавные персонажи, которые побуждают малыша к мышлению и творчеству.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Толчком к изобретению игр послужили собственные дети. Они родились у инженера-физика Вячеслава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эпоху Перестройки, и походы по магазинам игрушек вгоняли молодого отца в тоску. Там предлагались игры, в которые играли еще бабушки наших бабушек. А в стране уже активно велись разговоры об альтернативной педагогике. И Вячеслав Валерьевич решил внести собственную лепту в передовые методы воспитания.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игры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появились в начале 90-х. "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"Игровой квадрат" (сейчас это "Квадрат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"), "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Складушки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"Цветовые часы" сразу привлекли к себе внимание. С каждым годом их становилось все больше - "Прозрачный квадрат", "Прозрачная цифра", "Домино", "Планета умножения", серия "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Чудо-головоломки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"Математические корзинки". Появились и первые методические сказки. Практика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вышла за рамки семьи. С просьбами поделиться опытом его стали приглашать на семинары, сначала в родном городе (тогда еще Ленинграде) а потом и за его пределами. Чуть позже был создан центр ООО «Развивающие игры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разработке, производству, внедрению и распространению методик и развивающих и коррекционных игр.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jc w:val="center"/>
        <w:rPr>
          <w:rFonts w:ascii="Arial" w:eastAsia="Times New Roman" w:hAnsi="Arial" w:cs="Arial"/>
          <w:color w:val="E36C0A" w:themeColor="accent6" w:themeShade="BF"/>
          <w:sz w:val="36"/>
          <w:szCs w:val="36"/>
          <w:lang w:eastAsia="ru-RU"/>
        </w:rPr>
      </w:pPr>
      <w:r w:rsidRPr="00A210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highlight w:val="cyan"/>
          <w:lang w:eastAsia="ru-RU"/>
        </w:rPr>
        <w:t>В чё</w:t>
      </w:r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highlight w:val="cyan"/>
          <w:lang w:eastAsia="ru-RU"/>
        </w:rPr>
        <w:t xml:space="preserve">м же особенности игр </w:t>
      </w:r>
      <w:proofErr w:type="spellStart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highlight w:val="cyan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highlight w:val="cyan"/>
          <w:lang w:eastAsia="ru-RU"/>
        </w:rPr>
        <w:t>?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Каждая игра имеет свои отличительные конструктивные элементы. Например, в «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Геоконте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это динамическая резинка, в «Прозрачном квадрате» - прозрачные и непрозрачные части, в «Квадрате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одновременно использованы жесткость и гибкость.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Игры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подходят для детей широкого возрастного диапазона. Они интересны и для трехлеток, и для семилеток, и даже для учеников средней школы. Для малышей предусмотрены несложные одн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для старших ребят есть сложные многоступенчатые задачи.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Одна игра дает возможность решать множество образовательных задач. Малыш одновременно осваивает буквы, цифры, учится различать цвет, форму, тренирует память, внимание, развивает мышление, воображение, а также тренирует мелкую моторику ручек.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играх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заложен огромный творческий потенциал. С какой игрой ребенок играет дольше всего? Конечно, с той, которая дает ему </w:t>
      </w: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воплощать "задумки" в действительность. Сколько интересного можно придумать и сделать из деталей "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Чудо-головоломок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разноцветных "паутинок" "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"вечного оригами" "Квадрата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 машины, самолеты, корабли, бабочки и птицы, рыцари и принцессы - целый сказочный мир! Игры дают возможность проявлять творчество и взрослым.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Все игры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сказочную огранку. Ребенку намного интереснее играть не просто с квадратами и треугольниками, а с Нетающими Льдинками или разноцветными паутинами Паука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Вместо того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изучать дроби, ребенок разгадывает Секреты Чудо-Цветика, в чем ему помогает Малыш Гео. Новое и необычное всегда лучше привлекает внимание и легко запоминается.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Главная отличительная особенность игр – образность и универсальность. Игра интригует, мобилизует внимание малыша, его интерес, втягивая ребенка в процесс решения. Малыш образно попадает в ситуацию, последовательно анализирует свои действия, поставленные задания, осознает цели и находит варианты решения. Взрослый – это равноправный партнер в игре, которая «сама» занимается обучением. Для каждого занятия с персонажами можно придумывать новые истории и путешествия. Игры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применять как в домашней обстановке, так и в детских садах, развивающих центрах.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Игры не просто учат «читать-считать», они развивают такие качества личности-творца, как оригинальность и творческое мышление,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дивергентность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суждений, а также учат человеческим взаимоотношениям.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Методическое сопровождение. 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Сказки-задания и их добрые герои - мудрый ворон Метр, храбрый малыш Гео, хитрый, но простоватый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Всюсь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забавный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Магнолик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сопровождая ребенка по игре, учат его не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Pr="008475A8">
          <w:rPr>
            <w:rFonts w:ascii="Times New Roman" w:eastAsia="Times New Roman" w:hAnsi="Times New Roman" w:cs="Times New Roman"/>
            <w:b/>
            <w:bCs/>
            <w:color w:val="1DBEF1"/>
            <w:sz w:val="28"/>
            <w:szCs w:val="28"/>
            <w:lang w:eastAsia="ru-RU"/>
          </w:rPr>
          <w:t>математике</w:t>
        </w:r>
      </w:hyperlink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чтению, логике, но и человеческим взаимоотношениям.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jc w:val="center"/>
        <w:rPr>
          <w:rFonts w:ascii="Arial" w:eastAsia="Times New Roman" w:hAnsi="Arial" w:cs="Arial"/>
          <w:color w:val="E36C0A" w:themeColor="accent6" w:themeShade="BF"/>
          <w:sz w:val="36"/>
          <w:szCs w:val="36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highlight w:val="cyan"/>
          <w:lang w:eastAsia="ru-RU"/>
        </w:rPr>
        <w:t>С мамой и папой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можно и нужно создавать развивающую среду, и не обязательно в виде Фиолетового Леса. Можно ли играть в эти игры без авторских сказок? Конечно, можно. Взрослым просто нужно придумать свой способ привлечь внимание ребенка к игре. Сегодня с логотипом "Развивающие игры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предлагаются десятки игр, пособий, игровых развивающих комплексов. В нынешнем году Вячеслав Вадимович и его коллеги планируют выпустить "родительский" вариант технологии "Сказочные лабиринты игры"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8475A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cyan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Самые популярные игры </w:t>
      </w:r>
      <w:proofErr w:type="spellStart"/>
      <w:r w:rsidRPr="008475A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cyan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Воскобовича</w:t>
      </w:r>
      <w:proofErr w:type="spellEnd"/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lastRenderedPageBreak/>
        <w:t>«</w:t>
      </w:r>
      <w:proofErr w:type="spellStart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Геоконт</w:t>
      </w:r>
      <w:proofErr w:type="spellEnd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» </w:t>
      </w:r>
      <w:r w:rsidRPr="008475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её ещё  называют «дощечкой с гвоздиками» или «разноцветные паутинки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-. 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фанерную дощечку с нанесенной на неё координатной пленкой. На игровом поле закреплены пластмассовые гвоздики, на которые натягиваются разноцветные «динамические» резинки. В результате такого конструирования получаются предметные силуэты, геометрические фигуры, узоры, цифры, буквы.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набор сопровождает методическая сказка «Малыш Гео, Ворон Метр и Я, дядя Слава» (в названии сказки зашифровано слово «</w:t>
      </w:r>
      <w:hyperlink r:id="rId6" w:tgtFrame="_blank" w:history="1">
        <w:r w:rsidRPr="008475A8">
          <w:rPr>
            <w:rFonts w:ascii="Times New Roman" w:eastAsia="Times New Roman" w:hAnsi="Times New Roman" w:cs="Times New Roman"/>
            <w:b/>
            <w:bCs/>
            <w:color w:val="1DBEF1"/>
            <w:sz w:val="28"/>
            <w:szCs w:val="28"/>
            <w:lang w:eastAsia="ru-RU"/>
          </w:rPr>
          <w:t>геометрия</w:t>
        </w:r>
      </w:hyperlink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начинается сказка так: «Однажды малышу Гео приснился сон. Идет он по белу свету день, второй, третий, и вдруг - навстречу Красный Зверь. Испугался малыш, побежал, и вдруг - голос: «Не бойся Красного Зверя, прогони его оранжевым криком». Крикнул малыш оранжевым криком – исчез Красный Зверь, но появилось дерево, на вершине которого сидела Желтая Птица. Взмахнула Желтая Птица крылами, закружила, Малыш испугался и побежал. И снова голос: «Не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бойся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Желтую Птицу – прогони ее зеленым свистом». Свистнул малыш зеленым свистом – исчезла Желтая Птица. Появилось озеро, на берегу стояла лодочка. Сел Малыш в лодочку, сделал несколько гребков и вдруг выплывает Голубая Рыба. Снова испугался Малыш, подналег на весла, но не тут-то было. И снова голос: «Не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бойся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Голубую Рыбу, прогони ее синим шепотом». Шепнул Малыш синим шепотом – исчезло озеро, исчезла лодочка. Гео стоял перед входом в Фиолетовый Лес».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малыш не просто создает изображения на «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Геоконте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 делает паутинку паука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лучи и отрезки, которые называются "оранжевым криком Красного зверя", "зеленым свистом Желтой птицы" или "синим шепотом Голубой рыбы". В книжке приводятся схемы-рисунки того, что должно у ребенка получиться.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игр с "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Геоконтом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у детей развивается моторика кисти и пальчиков, сенсорные способности (освоение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творчество.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E36C0A" w:themeColor="accent6" w:themeShade="BF"/>
          <w:sz w:val="36"/>
          <w:szCs w:val="36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highlight w:val="cyan"/>
          <w:lang w:eastAsia="ru-RU"/>
        </w:rPr>
        <w:t xml:space="preserve">«Квадрат </w:t>
      </w:r>
      <w:proofErr w:type="spellStart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highlight w:val="cyan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highlight w:val="cyan"/>
          <w:lang w:eastAsia="ru-RU"/>
        </w:rPr>
        <w:t>» или «Игровой квадрат» бывает 4</w:t>
      </w:r>
      <w:r w:rsidRPr="00A210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highlight w:val="cyan"/>
          <w:lang w:eastAsia="ru-RU"/>
        </w:rPr>
        <w:t>-</w:t>
      </w:r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highlight w:val="cyan"/>
          <w:lang w:eastAsia="ru-RU"/>
        </w:rPr>
        <w:t>х цветным (для 3-7летних детей)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представляет собой 32 жестких треугольника, наклеенных с двух сторон на расстоянии 3-5 мл друг от друга на гибкую тканевую основу. С одной стороны «Квадрат» - зеленого и желтого цвета, с другой – синего и красного. 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 Потому-то эту игру называют еще «Вечное оригами» или «Квадра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т–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Игру сопровождает методическая сказка «Тайна Ворона Метра, или сказка об удивительных превращениях-приключениях квадрата».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"Квадрат" оживает и превращается в различные образы: домик, мышку, ежика, котенка, лодку, туфельку, самолетик, конфетку и т.п.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собирает фигуры по картинкам в книжке, где показано, как сложить квадрат, и дано художественное изображение того же предмета.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квадрат-головоломка позволяет не только поиграть, развить пространственное воображение и тонкую моторику, но и является материалом, знакомящим с основами </w:t>
      </w:r>
      <w:hyperlink r:id="rId7" w:tgtFrame="_blank" w:history="1">
        <w:r w:rsidRPr="008475A8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геометрии</w:t>
        </w:r>
      </w:hyperlink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стериометрии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счетным материалом, основой для моделирования, творчества, которое не имеет ограничений по возрасту.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«</w:t>
      </w:r>
      <w:proofErr w:type="gramStart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Чудо-крестики</w:t>
      </w:r>
      <w:proofErr w:type="gramEnd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»</w:t>
      </w:r>
      <w:r w:rsidRPr="008475A8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</w:t>
      </w: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 собой игру с вкладышами. Вкладыши сделаны из кругов и крестиков. Крестики разрезаны на части в виде геометрических фигур. На начальном этапе дети учатся собирать разрезанные фигуры в единое целое.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задание усложняется: по схемам в «Альбоме фигурок» (прилагается) ребенок собирает сначала дорожки, башни, а затем драконов, человечков, солдатиков, насекомых и многое другое.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внимание, память, воображение, творческие способности, «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сенсорику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(различение цветов радуги, геометрических фигур, их размера), умение «читать» схемы, сравнивать и составлять целое из частей.</w:t>
      </w:r>
      <w:proofErr w:type="gramEnd"/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"Кораблик «Брызг – брызг"</w:t>
      </w:r>
      <w:r w:rsidRPr="008475A8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</w:t>
      </w: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игровое поле из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ковролина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корабля с приклеенным фанерным корпусом и нанесенными цифрами от 1 до 7. К мачте на корпусе нужно прикреплять по цветам радуги и по необходимому количеству флажки на липучках - паруса.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мелкую моторику, внимание, память, мышление, дает представление о математических понятиях, о цвете, высоте, пространственном расположении предметов, условной</w:t>
      </w:r>
      <w:proofErr w:type="gramEnd"/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</w:pPr>
      <w:proofErr w:type="spellStart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Коврограф</w:t>
      </w:r>
      <w:proofErr w:type="spellEnd"/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«Ларчик»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 широкое применение в работе д/с.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поле, расчерченное на квадраты 10х10 см. Это особенно удобно для нашего д/с, так как наши доски не расчерчены на клетки.</w:t>
      </w:r>
      <w:proofErr w:type="gramEnd"/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комплект также входят: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приспособления для фиксации на нем дидактического материала (пособия «Разноцветные липучки», «Кармашки»);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приложения «Разноцветные веревочки», «Цветные карточки», «Буквы и цифры».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методическое пособие «Ларчик».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Воспитатель ставит красную точку (липучку). Просит первого ребенка поставить синюю точку через 2 клетки вправо. Второму ребенку </w:t>
      </w: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предлагается поставить желтую точку через 3 клетки вниз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красной и т.д. Когда дети поставят 4 цветные точки, воспитатель спрашивает их, какая фигура получилась. После правильного ответа детей, воспитатель разноцветной веревочкой «чертит» ромб на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коврографе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образом, используя разноцветные веревочки, можно заниматься графическими диктантами на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коврографе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создавать различные картины.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в игровой форме решать самые разнообразные задачи. Например: "Росли в лесу два дерева — одно высокое, другое — низкое. (Длинную и короткую веревочку располагаем недалеко друг от друга на коврике). Высокое деревце любило похвастать: "Я — самое высокое дерево, Я — самое сильное." А низкое дерево стояло в тени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вздыхало и помалкивало. Забрел как-то в те леса гуляка ветер. Какое деревце приметил? Высокое. Стал раскачивать его из стоны в сторону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оказываем на коврике). В конце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концов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дерево сломалось и у упало к корням низенького (сгибаем длинную веревочку, чтоб получить букву И). Последнее, что успело прокричать высокое дерево: "Помоги-и-и-и...". Еще долго-долго последний звук носило лесное эхо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." 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звук? Звук И. А какую мы букву построили — букву И.</w:t>
      </w:r>
    </w:p>
    <w:p w:rsidR="008475A8" w:rsidRPr="008475A8" w:rsidRDefault="008475A8" w:rsidP="00A21070">
      <w:pPr>
        <w:shd w:val="clear" w:color="auto" w:fill="FFFFFF"/>
        <w:spacing w:before="0" w:after="150" w:line="240" w:lineRule="auto"/>
        <w:jc w:val="center"/>
        <w:rPr>
          <w:rFonts w:ascii="Arial" w:eastAsia="Times New Roman" w:hAnsi="Arial" w:cs="Arial"/>
          <w:color w:val="C00000"/>
          <w:sz w:val="36"/>
          <w:szCs w:val="36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highlight w:val="cyan"/>
          <w:lang w:eastAsia="ru-RU"/>
        </w:rPr>
        <w:t xml:space="preserve">«Прозрачный квадрат </w:t>
      </w:r>
      <w:proofErr w:type="spellStart"/>
      <w:r w:rsidRPr="008475A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highlight w:val="cyan"/>
          <w:lang w:eastAsia="ru-RU"/>
        </w:rPr>
        <w:t>Воскобовича</w:t>
      </w:r>
      <w:proofErr w:type="spellEnd"/>
      <w:r w:rsidRPr="008475A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highlight w:val="cyan"/>
          <w:lang w:eastAsia="ru-RU"/>
        </w:rPr>
        <w:t>»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«Прозрачный квадрат» - это увлекательная игра и эффективное средство развития ребенка дошкольного возраста.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геометрическими фигурами способствуют успешному освоению детьми эталонов формы. Выполняя игровые задания, ребенок учится считать, отсчитывать нужное количество, знакомится с пространственными отношениями и величиной. Составление одной фигуры из нескольких помогает понять ребенку-дошкольнику соотношение целого и части. В играх с «Прозрачным квадратом» совершенствуется память и воображение. Ребенок, играя, пересказывает сказочную историю, придумывает свои рассказы, доказывает правильность своих решений. Игра предоставляет огромные возможности детям и взрослым для реализации собственных творческих идей.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E36C0A" w:themeColor="accent6" w:themeShade="BF"/>
          <w:sz w:val="32"/>
          <w:szCs w:val="32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сказка</w:t>
      </w: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«Нетающие Льдинки Озера </w:t>
      </w:r>
      <w:proofErr w:type="spell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</w:t>
      </w:r>
      <w:proofErr w:type="spell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важная составляющая часть игры «Прозрачный квадрат». Сказочная история Малыша Гео служит прекрасной мотивацией для выполнения ребенком различных интеллектуальных заданий и, одновременно, является материалом для развития речи.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jc w:val="center"/>
        <w:rPr>
          <w:rFonts w:ascii="Arial" w:eastAsia="Times New Roman" w:hAnsi="Arial" w:cs="Arial"/>
          <w:color w:val="E36C0A" w:themeColor="accent6" w:themeShade="BF"/>
          <w:sz w:val="36"/>
          <w:szCs w:val="36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highlight w:val="cyan"/>
          <w:lang w:eastAsia="ru-RU"/>
        </w:rPr>
        <w:t>Правила конструирования квадрата.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складывании квадратов пластинки накладываются друг на друга всей плоскостью.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наложении пластинок друг на друга не допускается совмещение (пересечение) цветных элементов.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1. Анализ геометрических фигур, соотношение целого и части.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выложить точно такой же ряд из четырех пластинок.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пластинка лишняя? Чем она отличается от всех остальных? (Пластинка с квадратом, потому что на остальных пластинках изображены треугольники)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 лишнюю пластинку и докажи, что ты прав. (Лишняя пластинка с треугольником, потому что на остальных пластинках четырехугольники)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выложить точно такой же ряд из пластинок. Спросите, что объединяет пластинки. (На всех пластинках четырехугольники)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 закономерность и продолжи ряд. Чем отличаются пластинки друг от друга? (каждая пластинка больше предыдущей на 1 маленький треугольник)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 на рисунок и положи перед собой такие же пластинки. Какие из них нужно наложить друг на друга, чтобы получились две одинаковые геометрические фигуры. (Вторую и третью, получится треугольник, как на первой пластинке)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геометрическую фигуру надо добавить, чтобы получился непрозрачный квадрат? Какую часть от целого квадрата она составляет? Из каких частей сложен этот квадрат (равных, неравных)? Придумай и сложи свой квадрат из двух равных частей.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сложи квадрат из трех фигур, например таких, как на рисунке. Придумай и сложи свои квадраты из трех частей. Сколько их получилось?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Складывание квадрата из частей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Сложи 9 квадратов из всех пластинок. Сначала 5 квадратов из одинаковых геометрических фигур и 4 из разных</w:t>
      </w:r>
      <w:r w:rsidRPr="0084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 сложи 9 квадратов из разных геометрических фигур.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игра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 «Вертикальное домино»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нее играют 2-6 человек и делают ходы по очереди. Задача игроков: сложить квадраты из пластинок и набрать как можно больше очков.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36"/>
          <w:szCs w:val="36"/>
          <w:lang w:eastAsia="ru-RU"/>
        </w:rPr>
      </w:pPr>
      <w:r w:rsidRPr="008475A8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highlight w:val="cyan"/>
          <w:lang w:eastAsia="ru-RU"/>
        </w:rPr>
        <w:t>Правила игры: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Соберите все пластинки вместе и положите на середину стола. Это банк.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ходит первым, берет пластинку из банка и кладет ее на стол.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игрок берет пластинку из банка и, если она подходит, накладывает на первую, 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</w:t>
      </w:r>
      <w:proofErr w:type="gramEnd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квадрат из частей (см. правила конструирования квадрата).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Игрок, который построит квадрат, (то есть положит последнюю пластинку), забирает его себе (выигрывает).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пластинок в квадрате — столько очков.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пластинка не подходит, игрок кладет ее на стол рядом с недостроенным квадратом. В дальнейшем игроки могут собирать два квадрата по выбору.</w:t>
      </w:r>
      <w:r w:rsidR="00A21070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 </w:t>
      </w:r>
      <w:proofErr w:type="gramStart"/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можно складывать три, четыре и более квадратов.)</w:t>
      </w:r>
      <w:proofErr w:type="gramEnd"/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тот, у кого больше всего пластинок или очков.</w:t>
      </w:r>
    </w:p>
    <w:p w:rsidR="008475A8" w:rsidRPr="008475A8" w:rsidRDefault="008475A8" w:rsidP="008475A8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шнуром, можно выкладывать на столе.</w:t>
      </w:r>
    </w:p>
    <w:p w:rsidR="00837912" w:rsidRDefault="00837912"/>
    <w:sectPr w:rsidR="0083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A8"/>
    <w:rsid w:val="002A1C72"/>
    <w:rsid w:val="007F1EF1"/>
    <w:rsid w:val="00837912"/>
    <w:rsid w:val="008475A8"/>
    <w:rsid w:val="00A21070"/>
    <w:rsid w:val="00C3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F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1EF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F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EF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EF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EF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EF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EF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EF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EF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EF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F1EF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F1EF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F1EF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1EF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F1EF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F1EF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1EF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1EF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1EF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F1EF1"/>
    <w:rPr>
      <w:b/>
      <w:bCs/>
    </w:rPr>
  </w:style>
  <w:style w:type="character" w:styleId="a9">
    <w:name w:val="Emphasis"/>
    <w:uiPriority w:val="20"/>
    <w:qFormat/>
    <w:rsid w:val="007F1EF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F1EF1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7F1E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1E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1EF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F1EF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F1EF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F1EF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F1EF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F1EF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F1EF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F1EF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F1EF1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7F1EF1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475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7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F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1EF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F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EF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EF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EF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EF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EF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EF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EF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EF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F1EF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F1EF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F1EF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1EF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F1EF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F1EF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1EF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1EF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1EF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F1EF1"/>
    <w:rPr>
      <w:b/>
      <w:bCs/>
    </w:rPr>
  </w:style>
  <w:style w:type="character" w:styleId="a9">
    <w:name w:val="Emphasis"/>
    <w:uiPriority w:val="20"/>
    <w:qFormat/>
    <w:rsid w:val="007F1EF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F1EF1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7F1E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1E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1EF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F1EF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F1EF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F1EF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F1EF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F1EF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F1EF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F1EF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F1EF1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7F1EF1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475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7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316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437215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413475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5097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1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2468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onsultaciya-dlya-roditeley-igri-voskobovicha-142698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konsultaciya-dlya-roditeley-igri-voskobovicha-1426985.html" TargetMode="External"/><Relationship Id="rId5" Type="http://schemas.openxmlformats.org/officeDocument/2006/relationships/hyperlink" Target="https://infourok.ru/konsultaciya-dlya-roditeley-igri-voskobovicha-142698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2</cp:revision>
  <dcterms:created xsi:type="dcterms:W3CDTF">2017-09-30T11:00:00Z</dcterms:created>
  <dcterms:modified xsi:type="dcterms:W3CDTF">2017-09-30T11:20:00Z</dcterms:modified>
</cp:coreProperties>
</file>